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53" w:rsidRPr="009D2453" w:rsidRDefault="009D2453" w:rsidP="009D2453">
      <w:pPr>
        <w:spacing w:before="300" w:after="300" w:line="240" w:lineRule="auto"/>
        <w:jc w:val="center"/>
        <w:outlineLvl w:val="0"/>
        <w:rPr>
          <w:rFonts w:ascii="Arial" w:eastAsia="Times New Roman" w:hAnsi="Arial" w:cs="Arial"/>
          <w:b/>
          <w:bCs/>
          <w:kern w:val="36"/>
          <w:sz w:val="24"/>
          <w:szCs w:val="24"/>
          <w:lang w:eastAsia="ru-RU"/>
        </w:rPr>
      </w:pPr>
      <w:r w:rsidRPr="009D2453">
        <w:rPr>
          <w:rFonts w:ascii="Arial" w:eastAsia="Times New Roman" w:hAnsi="Arial" w:cs="Arial"/>
          <w:b/>
          <w:bCs/>
          <w:kern w:val="36"/>
          <w:sz w:val="24"/>
          <w:szCs w:val="24"/>
          <w:lang w:eastAsia="ru-RU"/>
        </w:rPr>
        <w:t>ПРОЦЕДУРА ПІДГОТОВКИ ДО ЗАХИСТУ ДИСЕРТАЦІЙ У СПЕЦІАЛІЗОВАНІЙ ВЧЕНІЙ РАДІ ІНСТИТУТУ Д 26.561.01</w:t>
      </w:r>
    </w:p>
    <w:p w:rsidR="009D2453" w:rsidRPr="009D2453" w:rsidRDefault="009D2453" w:rsidP="009D2453">
      <w:pPr>
        <w:spacing w:after="0" w:line="240" w:lineRule="auto"/>
        <w:rPr>
          <w:rFonts w:ascii="Arial" w:eastAsia="Times New Roman" w:hAnsi="Arial" w:cs="Arial"/>
          <w:sz w:val="21"/>
          <w:szCs w:val="21"/>
          <w:lang w:eastAsia="ru-RU"/>
        </w:rPr>
      </w:pPr>
    </w:p>
    <w:p w:rsidR="009D2453" w:rsidRPr="009D2453" w:rsidRDefault="00C30709" w:rsidP="009D2453">
      <w:pPr>
        <w:shd w:val="clear" w:color="auto" w:fill="FFFFFF"/>
        <w:spacing w:after="0" w:line="323" w:lineRule="atLeast"/>
        <w:ind w:firstLine="300"/>
        <w:textAlignment w:val="baseline"/>
        <w:rPr>
          <w:rFonts w:ascii="Arial" w:eastAsia="Times New Roman" w:hAnsi="Arial" w:cs="Arial"/>
          <w:sz w:val="21"/>
          <w:szCs w:val="21"/>
          <w:lang w:eastAsia="ru-RU"/>
        </w:rPr>
      </w:pPr>
      <w:hyperlink r:id="rId5" w:history="1">
        <w:r w:rsidR="009D2453" w:rsidRPr="009D2453">
          <w:rPr>
            <w:rFonts w:ascii="Arial" w:eastAsia="Times New Roman" w:hAnsi="Arial" w:cs="Arial"/>
            <w:b/>
            <w:bCs/>
            <w:sz w:val="21"/>
            <w:szCs w:val="21"/>
            <w:u w:val="single"/>
            <w:lang w:val="uk-UA" w:eastAsia="ru-RU"/>
          </w:rPr>
          <w:t>Інформацію щодо діяльності можна дізнатися на сторінці: «Атестація кадрів» сайту МОН України</w:t>
        </w:r>
      </w:hyperlink>
    </w:p>
    <w:p w:rsidR="009D2453" w:rsidRPr="009D2453" w:rsidRDefault="009D2453" w:rsidP="009D2453">
      <w:pPr>
        <w:shd w:val="clear" w:color="auto" w:fill="FFFFFF"/>
        <w:spacing w:after="0"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numPr>
          <w:ilvl w:val="0"/>
          <w:numId w:val="1"/>
        </w:numPr>
        <w:shd w:val="clear" w:color="auto" w:fill="FFFFFF"/>
        <w:spacing w:after="0" w:line="323" w:lineRule="atLeast"/>
        <w:ind w:left="0"/>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Перший етап – </w:t>
      </w:r>
      <w:r w:rsidRPr="009D2453">
        <w:rPr>
          <w:rFonts w:ascii="Arial" w:eastAsia="Times New Roman" w:hAnsi="Arial" w:cs="Arial"/>
          <w:sz w:val="21"/>
          <w:szCs w:val="21"/>
          <w:lang w:val="uk-UA" w:eastAsia="ru-RU"/>
        </w:rPr>
        <w:t>подання</w:t>
      </w:r>
      <w:r w:rsidRPr="009D2453">
        <w:rPr>
          <w:rFonts w:ascii="Arial" w:eastAsia="Times New Roman" w:hAnsi="Arial" w:cs="Arial"/>
          <w:b/>
          <w:bCs/>
          <w:sz w:val="21"/>
          <w:szCs w:val="21"/>
          <w:lang w:val="uk-UA" w:eastAsia="ru-RU"/>
        </w:rPr>
        <w:t> </w:t>
      </w:r>
      <w:r w:rsidRPr="009D2453">
        <w:rPr>
          <w:rFonts w:ascii="Arial" w:eastAsia="Times New Roman" w:hAnsi="Arial" w:cs="Arial"/>
          <w:sz w:val="21"/>
          <w:szCs w:val="21"/>
          <w:lang w:val="uk-UA" w:eastAsia="ru-RU"/>
        </w:rPr>
        <w:t>документів до спеціалізованої вченої ради;</w:t>
      </w:r>
    </w:p>
    <w:p w:rsidR="009D2453" w:rsidRPr="009D2453" w:rsidRDefault="009D2453" w:rsidP="009D2453">
      <w:pPr>
        <w:numPr>
          <w:ilvl w:val="0"/>
          <w:numId w:val="1"/>
        </w:numPr>
        <w:shd w:val="clear" w:color="auto" w:fill="FFFFFF"/>
        <w:spacing w:after="0" w:line="323" w:lineRule="atLeast"/>
        <w:ind w:left="0"/>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Другий етап – </w:t>
      </w:r>
      <w:r w:rsidRPr="009D2453">
        <w:rPr>
          <w:rFonts w:ascii="Arial" w:eastAsia="Times New Roman" w:hAnsi="Arial" w:cs="Arial"/>
          <w:sz w:val="21"/>
          <w:szCs w:val="21"/>
          <w:lang w:val="uk-UA" w:eastAsia="ru-RU"/>
        </w:rPr>
        <w:t>попередній розгляд;</w:t>
      </w:r>
    </w:p>
    <w:p w:rsidR="009D2453" w:rsidRPr="009D2453" w:rsidRDefault="009D2453" w:rsidP="009D2453">
      <w:pPr>
        <w:numPr>
          <w:ilvl w:val="0"/>
          <w:numId w:val="1"/>
        </w:numPr>
        <w:shd w:val="clear" w:color="auto" w:fill="FFFFFF"/>
        <w:spacing w:after="0" w:line="323" w:lineRule="atLeast"/>
        <w:ind w:left="0"/>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Третій етап – </w:t>
      </w:r>
      <w:r w:rsidRPr="009D2453">
        <w:rPr>
          <w:rFonts w:ascii="Arial" w:eastAsia="Times New Roman" w:hAnsi="Arial" w:cs="Arial"/>
          <w:sz w:val="21"/>
          <w:szCs w:val="21"/>
          <w:lang w:val="uk-UA" w:eastAsia="ru-RU"/>
        </w:rPr>
        <w:t>підготовка до захисту;</w:t>
      </w:r>
    </w:p>
    <w:p w:rsidR="009D2453" w:rsidRPr="009D2453" w:rsidRDefault="009D2453" w:rsidP="009D2453">
      <w:pPr>
        <w:numPr>
          <w:ilvl w:val="0"/>
          <w:numId w:val="1"/>
        </w:numPr>
        <w:shd w:val="clear" w:color="auto" w:fill="FFFFFF"/>
        <w:spacing w:after="0" w:line="323" w:lineRule="atLeast"/>
        <w:ind w:left="0"/>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Четвертий етап</w:t>
      </w:r>
      <w:r w:rsidRPr="009D2453">
        <w:rPr>
          <w:rFonts w:ascii="Arial" w:eastAsia="Times New Roman" w:hAnsi="Arial" w:cs="Arial"/>
          <w:sz w:val="21"/>
          <w:szCs w:val="21"/>
          <w:lang w:val="uk-UA" w:eastAsia="ru-RU"/>
        </w:rPr>
        <w:t> – захист;</w:t>
      </w:r>
    </w:p>
    <w:p w:rsidR="009D2453" w:rsidRPr="009D2453" w:rsidRDefault="009D2453" w:rsidP="009D2453">
      <w:pPr>
        <w:numPr>
          <w:ilvl w:val="0"/>
          <w:numId w:val="1"/>
        </w:numPr>
        <w:shd w:val="clear" w:color="auto" w:fill="FFFFFF"/>
        <w:spacing w:after="0" w:line="323" w:lineRule="atLeast"/>
        <w:ind w:left="0"/>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П’ятий етап</w:t>
      </w:r>
      <w:r w:rsidRPr="009D2453">
        <w:rPr>
          <w:rFonts w:ascii="Arial" w:eastAsia="Times New Roman" w:hAnsi="Arial" w:cs="Arial"/>
          <w:sz w:val="21"/>
          <w:szCs w:val="21"/>
          <w:lang w:val="uk-UA" w:eastAsia="ru-RU"/>
        </w:rPr>
        <w:t> – підготовка атестаційних справ здобувача.</w:t>
      </w:r>
    </w:p>
    <w:p w:rsidR="009D2453" w:rsidRPr="009D2453" w:rsidRDefault="009D2453" w:rsidP="009D2453">
      <w:pPr>
        <w:shd w:val="clear" w:color="auto" w:fill="FFFFFF"/>
        <w:spacing w:after="0"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240" w:lineRule="auto"/>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48"/>
          <w:szCs w:val="48"/>
          <w:lang w:val="uk-UA" w:eastAsia="ru-RU"/>
        </w:rPr>
        <w:t>___________________________</w:t>
      </w:r>
    </w:p>
    <w:p w:rsidR="009D2453" w:rsidRPr="009D2453" w:rsidRDefault="009D2453" w:rsidP="009D2453">
      <w:pPr>
        <w:shd w:val="clear" w:color="auto" w:fill="FFFFFF"/>
        <w:spacing w:after="0"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21"/>
          <w:szCs w:val="21"/>
          <w:u w:val="single"/>
          <w:lang w:val="uk-UA" w:eastAsia="ru-RU"/>
        </w:rPr>
        <w:t>Перший етап</w:t>
      </w:r>
      <w:r w:rsidRPr="009D2453">
        <w:rPr>
          <w:rFonts w:ascii="Arial" w:eastAsia="Times New Roman" w:hAnsi="Arial" w:cs="Arial"/>
          <w:b/>
          <w:bCs/>
          <w:sz w:val="21"/>
          <w:szCs w:val="21"/>
          <w:lang w:val="uk-UA" w:eastAsia="ru-RU"/>
        </w:rPr>
        <w:br/>
        <w:t>Подання документів до спеціалізованої вченої ради</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sz w:val="21"/>
          <w:szCs w:val="21"/>
          <w:lang w:val="uk-UA" w:eastAsia="ru-RU"/>
        </w:rPr>
        <w:t>Перед поданням документів до спеціалізованої вченої ради здобувачу необхідно ознайомитись із нормативно-правовими актами, які регламентують порядок присудження наукових ступенів, а саме:</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hyperlink r:id="rId6" w:history="1">
        <w:r w:rsidRPr="009D2453">
          <w:rPr>
            <w:rFonts w:ascii="Arial" w:eastAsia="Times New Roman" w:hAnsi="Arial" w:cs="Arial"/>
            <w:b/>
            <w:bCs/>
            <w:sz w:val="21"/>
            <w:szCs w:val="21"/>
            <w:u w:val="single"/>
            <w:lang w:val="uk-UA" w:eastAsia="ru-RU"/>
          </w:rPr>
          <w:t>Закон України "Про вищу освіту" від 01.07.2014 р. № 1556-VII,</w:t>
        </w:r>
      </w:hyperlink>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hyperlink r:id="rId7" w:history="1">
        <w:r w:rsidRPr="009D2453">
          <w:rPr>
            <w:rFonts w:ascii="Arial" w:eastAsia="Times New Roman" w:hAnsi="Arial" w:cs="Arial"/>
            <w:b/>
            <w:bCs/>
            <w:sz w:val="21"/>
            <w:szCs w:val="21"/>
            <w:u w:val="single"/>
            <w:lang w:val="uk-UA" w:eastAsia="ru-RU"/>
          </w:rPr>
          <w:t>Порядок присудження наукових ступенів, затверджений Постановою Кабінету Міністрів України від 24 липня 2013 року № 567,</w:t>
        </w:r>
      </w:hyperlink>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hyperlink r:id="rId8" w:history="1">
        <w:r w:rsidRPr="009D2453">
          <w:rPr>
            <w:rFonts w:ascii="Arial" w:eastAsia="Times New Roman" w:hAnsi="Arial" w:cs="Arial"/>
            <w:b/>
            <w:bCs/>
            <w:sz w:val="21"/>
            <w:szCs w:val="21"/>
            <w:u w:val="single"/>
            <w:lang w:val="uk-UA" w:eastAsia="ru-RU"/>
          </w:rPr>
          <w:t>Положення про спеціалізовану вчену раду, затверджене Наказом Міністерства освіти і науки, молоді та спорту України від 14.09.2011 № 1059,</w:t>
        </w:r>
      </w:hyperlink>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hyperlink r:id="rId9" w:history="1">
        <w:r w:rsidRPr="009D2453">
          <w:rPr>
            <w:rFonts w:ascii="Arial" w:eastAsia="Times New Roman" w:hAnsi="Arial" w:cs="Arial"/>
            <w:b/>
            <w:bCs/>
            <w:sz w:val="21"/>
            <w:szCs w:val="21"/>
            <w:u w:val="single"/>
            <w:lang w:val="uk-UA" w:eastAsia="ru-RU"/>
          </w:rPr>
          <w:t>Положення про атестаційну колегію Міністерства освіти і науки, молоді та спорту України, затверджене Наказом Міністерства освіти і науки, молоді та спорту України від 14.09.2011 № 1059,</w:t>
        </w:r>
      </w:hyperlink>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hyperlink r:id="rId10" w:history="1">
        <w:r w:rsidRPr="009D2453">
          <w:rPr>
            <w:rFonts w:ascii="Arial" w:eastAsia="Times New Roman" w:hAnsi="Arial" w:cs="Arial"/>
            <w:b/>
            <w:bCs/>
            <w:sz w:val="21"/>
            <w:szCs w:val="21"/>
            <w:u w:val="single"/>
            <w:lang w:val="uk-UA" w:eastAsia="ru-RU"/>
          </w:rPr>
          <w:t>ДСТУ 3008-98 "Документація. Звіти у сфері науки і техніки: Структура і правила оформлення",</w:t>
        </w:r>
      </w:hyperlink>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hyperlink r:id="rId11" w:history="1">
        <w:r w:rsidRPr="009D2453">
          <w:rPr>
            <w:rFonts w:ascii="Arial" w:eastAsia="Times New Roman" w:hAnsi="Arial" w:cs="Arial"/>
            <w:b/>
            <w:bCs/>
            <w:sz w:val="21"/>
            <w:szCs w:val="21"/>
            <w:u w:val="single"/>
            <w:lang w:val="uk-UA" w:eastAsia="ru-RU"/>
          </w:rPr>
          <w:t>ДСТУ 8302:2015 «Інформація та документація. Бібліографічне посилання. Загальні положення та правила складання»,</w:t>
        </w:r>
      </w:hyperlink>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hyperlink r:id="rId12" w:history="1">
        <w:r w:rsidRPr="009D2453">
          <w:rPr>
            <w:rFonts w:ascii="Arial" w:eastAsia="Times New Roman" w:hAnsi="Arial" w:cs="Arial"/>
            <w:b/>
            <w:bCs/>
            <w:sz w:val="21"/>
            <w:szCs w:val="21"/>
            <w:u w:val="single"/>
            <w:lang w:val="uk-UA" w:eastAsia="ru-RU"/>
          </w:rPr>
          <w:t>Вимоги до дисертацій та авторефератів дисертацій, опубліковані у Бюлетені ВАК України № 9–10, 2011 р.</w:t>
        </w:r>
      </w:hyperlink>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Перелік документів та їх зразки, які подає до спеціалізованої вченої ради здобувач наукового ступеня можна скачати за посиланнями:</w:t>
      </w:r>
    </w:p>
    <w:p w:rsidR="009D2453" w:rsidRPr="009D2453" w:rsidRDefault="009D2453" w:rsidP="004B73F2">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sz w:val="21"/>
          <w:szCs w:val="21"/>
          <w:lang w:val="uk-UA" w:eastAsia="ru-RU"/>
        </w:rPr>
        <w:t xml:space="preserve">Перед поданням документів до Спеціалізованої вченої ради здобувач  заповнює </w:t>
      </w:r>
      <w:r w:rsidR="004B73F2">
        <w:rPr>
          <w:rFonts w:ascii="Arial" w:eastAsia="Times New Roman" w:hAnsi="Arial" w:cs="Arial"/>
          <w:sz w:val="21"/>
          <w:szCs w:val="21"/>
          <w:lang w:val="uk-UA" w:eastAsia="ru-RU"/>
        </w:rPr>
        <w:t xml:space="preserve">журнал реєстрації в кабінеті спеціалізованої вченої ради </w:t>
      </w:r>
      <w:r w:rsidR="004B73F2" w:rsidRPr="004B73F2">
        <w:rPr>
          <w:rFonts w:ascii="Arial" w:eastAsia="Times New Roman" w:hAnsi="Arial" w:cs="Arial"/>
          <w:sz w:val="21"/>
          <w:szCs w:val="21"/>
          <w:lang w:val="uk-UA" w:eastAsia="ru-RU"/>
        </w:rPr>
        <w:t xml:space="preserve">"НІХТ </w:t>
      </w:r>
      <w:proofErr w:type="spellStart"/>
      <w:r w:rsidR="004B73F2" w:rsidRPr="004B73F2">
        <w:rPr>
          <w:rFonts w:ascii="Arial" w:eastAsia="Times New Roman" w:hAnsi="Arial" w:cs="Arial"/>
          <w:sz w:val="21"/>
          <w:szCs w:val="21"/>
          <w:lang w:val="uk-UA" w:eastAsia="ru-RU"/>
        </w:rPr>
        <w:t>ім</w:t>
      </w:r>
      <w:proofErr w:type="spellEnd"/>
      <w:r w:rsidR="004B73F2" w:rsidRPr="004B73F2">
        <w:rPr>
          <w:rFonts w:ascii="Arial" w:eastAsia="Times New Roman" w:hAnsi="Arial" w:cs="Arial"/>
          <w:sz w:val="21"/>
          <w:szCs w:val="21"/>
          <w:lang w:val="uk-UA" w:eastAsia="ru-RU"/>
        </w:rPr>
        <w:t xml:space="preserve">. О. О. </w:t>
      </w:r>
      <w:proofErr w:type="spellStart"/>
      <w:r w:rsidR="004B73F2" w:rsidRPr="004B73F2">
        <w:rPr>
          <w:rFonts w:ascii="Arial" w:eastAsia="Times New Roman" w:hAnsi="Arial" w:cs="Arial"/>
          <w:sz w:val="21"/>
          <w:szCs w:val="21"/>
          <w:lang w:val="uk-UA" w:eastAsia="ru-RU"/>
        </w:rPr>
        <w:t>Шалімова</w:t>
      </w:r>
      <w:proofErr w:type="spellEnd"/>
      <w:r w:rsidR="004B73F2" w:rsidRPr="004B73F2">
        <w:rPr>
          <w:rFonts w:ascii="Arial" w:eastAsia="Times New Roman" w:hAnsi="Arial" w:cs="Arial"/>
          <w:sz w:val="21"/>
          <w:szCs w:val="21"/>
          <w:lang w:val="uk-UA" w:eastAsia="ru-RU"/>
        </w:rPr>
        <w:t>" НАМН України</w:t>
      </w:r>
      <w:r w:rsidR="004B73F2">
        <w:rPr>
          <w:rFonts w:ascii="Arial" w:eastAsia="Times New Roman" w:hAnsi="Arial" w:cs="Arial"/>
          <w:sz w:val="21"/>
          <w:szCs w:val="21"/>
          <w:lang w:val="uk-UA" w:eastAsia="ru-RU"/>
        </w:rPr>
        <w:t xml:space="preserve"> (</w:t>
      </w:r>
      <w:r w:rsidR="004B73F2" w:rsidRPr="004B73F2">
        <w:rPr>
          <w:rFonts w:ascii="Arial" w:eastAsia="Times New Roman" w:hAnsi="Arial" w:cs="Arial"/>
          <w:sz w:val="21"/>
          <w:szCs w:val="21"/>
          <w:lang w:val="uk-UA" w:eastAsia="ru-RU"/>
        </w:rPr>
        <w:t>№</w:t>
      </w:r>
      <w:r w:rsidR="004B73F2">
        <w:rPr>
          <w:rFonts w:ascii="Arial" w:eastAsia="Times New Roman" w:hAnsi="Arial" w:cs="Arial"/>
          <w:sz w:val="21"/>
          <w:szCs w:val="21"/>
          <w:lang w:val="uk-UA" w:eastAsia="ru-RU"/>
        </w:rPr>
        <w:t>1118, перший поверх)</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Автореферат і дисертація, які подаються до спеціалізованої вченої ради, не повинні містити помилок та за оформленням повинні відповідати вимогам ДСТУ 3008-95.</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lastRenderedPageBreak/>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На титульній сторінці одного з примірників автореферату має бути підпис наукового керівника (консультанта).</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Дисертація подається до спеціалізованої вченої ради у зброшурованому вигляді у твердій палітурці темного кольору.</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 xml:space="preserve">Автореферат подається до спеціалізованої вченої ради в електронному варіанті та у вигляді роздруківки на листках формату А 4. Шрифт </w:t>
      </w:r>
      <w:proofErr w:type="spellStart"/>
      <w:r w:rsidRPr="009D2453">
        <w:rPr>
          <w:rFonts w:ascii="Arial" w:eastAsia="Times New Roman" w:hAnsi="Arial" w:cs="Arial"/>
          <w:sz w:val="21"/>
          <w:szCs w:val="21"/>
          <w:lang w:val="uk-UA" w:eastAsia="ru-RU"/>
        </w:rPr>
        <w:t>Times</w:t>
      </w:r>
      <w:proofErr w:type="spellEnd"/>
      <w:r w:rsidRPr="009D2453">
        <w:rPr>
          <w:rFonts w:ascii="Arial" w:eastAsia="Times New Roman" w:hAnsi="Arial" w:cs="Arial"/>
          <w:sz w:val="21"/>
          <w:szCs w:val="21"/>
          <w:lang w:val="uk-UA" w:eastAsia="ru-RU"/>
        </w:rPr>
        <w:t xml:space="preserve"> </w:t>
      </w:r>
      <w:proofErr w:type="spellStart"/>
      <w:r w:rsidRPr="009D2453">
        <w:rPr>
          <w:rFonts w:ascii="Arial" w:eastAsia="Times New Roman" w:hAnsi="Arial" w:cs="Arial"/>
          <w:sz w:val="21"/>
          <w:szCs w:val="21"/>
          <w:lang w:val="uk-UA" w:eastAsia="ru-RU"/>
        </w:rPr>
        <w:t>New</w:t>
      </w:r>
      <w:proofErr w:type="spellEnd"/>
      <w:r w:rsidRPr="009D2453">
        <w:rPr>
          <w:rFonts w:ascii="Arial" w:eastAsia="Times New Roman" w:hAnsi="Arial" w:cs="Arial"/>
          <w:sz w:val="21"/>
          <w:szCs w:val="21"/>
          <w:lang w:val="uk-UA" w:eastAsia="ru-RU"/>
        </w:rPr>
        <w:t xml:space="preserve"> </w:t>
      </w:r>
      <w:proofErr w:type="spellStart"/>
      <w:r w:rsidRPr="009D2453">
        <w:rPr>
          <w:rFonts w:ascii="Arial" w:eastAsia="Times New Roman" w:hAnsi="Arial" w:cs="Arial"/>
          <w:sz w:val="21"/>
          <w:szCs w:val="21"/>
          <w:lang w:val="uk-UA" w:eastAsia="ru-RU"/>
        </w:rPr>
        <w:t>Roman</w:t>
      </w:r>
      <w:proofErr w:type="spellEnd"/>
      <w:r w:rsidRPr="009D2453">
        <w:rPr>
          <w:rFonts w:ascii="Arial" w:eastAsia="Times New Roman" w:hAnsi="Arial" w:cs="Arial"/>
          <w:sz w:val="21"/>
          <w:szCs w:val="21"/>
          <w:lang w:val="uk-UA" w:eastAsia="ru-RU"/>
        </w:rPr>
        <w:t>, Розмір шрифту 14 кегль, міжрядковий інтервал – 1, ліве і праве поля – 1,5 см, верхнє і нижнє поля – 2 см, кількість рядків на сторінку – 40-44. Обсяг автореферату (загальної характеристики роботи, основного змісту, висновків, списку опублікованих автором праць за темою дисертації) – 0,7-0,9 друкованих аркушів (28 000-36 000 знаків з урахуванням пробілів), що орієнтовно складає 17-20 сторінок для автореферату кандидатської дисертації, та обсягом 1,3-1,9 друкованих аркушів (52 000-76 000 знаків з урахуванням пробілів), що орієнтовно складає 31-46 сторінок для автореферату докторської дисертації. Тест обкладинки, списку опублікованих автором праць за темою дисертації та анотацій до обсягу автореферату не включаються. На останніх сторінках автореферату мають бути розміщені анотації українською, англійською та російською мовами, причому на вибір здобувача анотація англійською або російською мовою повинна бути розгорнутою обсягом до 2 сторінок машинописного тексту (до 5000 друкованих знаків) і містити інформацію про зміст та результати дисертаційної роботи, а дві інші обсягом до 0,5 сторінки машинописного тексту (до 1200 друкованих знаків) повинні бути ідентичні за змістом і містити стислу інформацію про дисертацію. ЕЛЕКТРОННИЙ ВАРІАНТ АВТОРЕФЕРАТА ПОВИНЕН ТОЧНО ВІДПОВІДАТИ ЗА ФОРМАТУВАННЯМ ТА РУБРИКАЦІЄЮ </w:t>
      </w:r>
      <w:hyperlink r:id="rId13" w:history="1">
        <w:r w:rsidRPr="009D2453">
          <w:rPr>
            <w:rFonts w:ascii="Arial" w:eastAsia="Times New Roman" w:hAnsi="Arial" w:cs="Arial"/>
            <w:b/>
            <w:bCs/>
            <w:sz w:val="21"/>
            <w:szCs w:val="21"/>
            <w:u w:val="single"/>
            <w:lang w:val="uk-UA" w:eastAsia="ru-RU"/>
          </w:rPr>
          <w:t>ЗРА</w:t>
        </w:r>
        <w:r w:rsidRPr="009D2453">
          <w:rPr>
            <w:rFonts w:ascii="Arial" w:eastAsia="Times New Roman" w:hAnsi="Arial" w:cs="Arial"/>
            <w:b/>
            <w:bCs/>
            <w:sz w:val="21"/>
            <w:szCs w:val="21"/>
            <w:u w:val="single"/>
            <w:lang w:val="uk-UA" w:eastAsia="ru-RU"/>
          </w:rPr>
          <w:t>З</w:t>
        </w:r>
        <w:r w:rsidRPr="009D2453">
          <w:rPr>
            <w:rFonts w:ascii="Arial" w:eastAsia="Times New Roman" w:hAnsi="Arial" w:cs="Arial"/>
            <w:b/>
            <w:bCs/>
            <w:sz w:val="21"/>
            <w:szCs w:val="21"/>
            <w:u w:val="single"/>
            <w:lang w:val="uk-UA" w:eastAsia="ru-RU"/>
          </w:rPr>
          <w:t>КУ АВТОРЕФЕРАТУ</w:t>
        </w:r>
        <w:r w:rsidRPr="009D2453">
          <w:rPr>
            <w:rFonts w:ascii="Arial" w:eastAsia="Times New Roman" w:hAnsi="Arial" w:cs="Arial"/>
            <w:sz w:val="21"/>
            <w:szCs w:val="21"/>
            <w:u w:val="single"/>
            <w:lang w:val="uk-UA" w:eastAsia="ru-RU"/>
          </w:rPr>
          <w:t>,</w:t>
        </w:r>
      </w:hyperlink>
      <w:r w:rsidRPr="009D2453">
        <w:rPr>
          <w:rFonts w:ascii="Arial" w:eastAsia="Times New Roman" w:hAnsi="Arial" w:cs="Arial"/>
          <w:sz w:val="21"/>
          <w:szCs w:val="21"/>
          <w:lang w:val="uk-UA" w:eastAsia="ru-RU"/>
        </w:rPr>
        <w:t> розміщеному на сайті.</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 xml:space="preserve">Належним чином оформлені документи подаються вченому секретарю спеціалізованої вченої ради  після попередньої перевірки технічним секретарем </w:t>
      </w:r>
      <w:r w:rsidR="004B73F2">
        <w:rPr>
          <w:rFonts w:ascii="Arial" w:eastAsia="Times New Roman" w:hAnsi="Arial" w:cs="Arial"/>
          <w:sz w:val="21"/>
          <w:szCs w:val="21"/>
          <w:lang w:val="uk-UA" w:eastAsia="ru-RU"/>
        </w:rPr>
        <w:t xml:space="preserve">Тетяною Леонідівною </w:t>
      </w:r>
      <w:r w:rsidRPr="009D2453">
        <w:rPr>
          <w:rFonts w:ascii="Arial" w:eastAsia="Times New Roman" w:hAnsi="Arial" w:cs="Arial"/>
          <w:sz w:val="21"/>
          <w:szCs w:val="21"/>
          <w:lang w:val="uk-UA" w:eastAsia="ru-RU"/>
        </w:rPr>
        <w:t>(</w:t>
      </w:r>
      <w:proofErr w:type="spellStart"/>
      <w:r w:rsidRPr="009D2453">
        <w:rPr>
          <w:rFonts w:ascii="Arial" w:eastAsia="Times New Roman" w:hAnsi="Arial" w:cs="Arial"/>
          <w:sz w:val="21"/>
          <w:szCs w:val="21"/>
          <w:lang w:val="uk-UA" w:eastAsia="ru-RU"/>
        </w:rPr>
        <w:t>каб</w:t>
      </w:r>
      <w:proofErr w:type="spellEnd"/>
      <w:r w:rsidRPr="009D2453">
        <w:rPr>
          <w:rFonts w:ascii="Arial" w:eastAsia="Times New Roman" w:hAnsi="Arial" w:cs="Arial"/>
          <w:sz w:val="21"/>
          <w:szCs w:val="21"/>
          <w:lang w:val="uk-UA" w:eastAsia="ru-RU"/>
        </w:rPr>
        <w:t>. 1118)</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Документи, що не відповідають вищевказаним вимогам, вченим секретарем не приймаються.</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r w:rsidRPr="009D2453">
        <w:rPr>
          <w:rFonts w:ascii="Arial" w:eastAsia="Times New Roman" w:hAnsi="Arial" w:cs="Arial"/>
          <w:b/>
          <w:bCs/>
          <w:sz w:val="48"/>
          <w:szCs w:val="48"/>
          <w:lang w:val="uk-UA" w:eastAsia="ru-RU"/>
        </w:rPr>
        <w:t>___________________________</w:t>
      </w:r>
    </w:p>
    <w:p w:rsidR="009D2453" w:rsidRPr="009D2453" w:rsidRDefault="009D2453" w:rsidP="009D2453">
      <w:pPr>
        <w:shd w:val="clear" w:color="auto" w:fill="FFFFFF"/>
        <w:spacing w:after="276"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Default="009D2453">
      <w:pPr>
        <w:rPr>
          <w:rFonts w:ascii="Arial" w:eastAsia="Times New Roman" w:hAnsi="Arial" w:cs="Arial"/>
          <w:b/>
          <w:bCs/>
          <w:sz w:val="21"/>
          <w:szCs w:val="21"/>
          <w:u w:val="single"/>
          <w:lang w:val="uk-UA" w:eastAsia="ru-RU"/>
        </w:rPr>
      </w:pPr>
      <w:r>
        <w:rPr>
          <w:rFonts w:ascii="Arial" w:eastAsia="Times New Roman" w:hAnsi="Arial" w:cs="Arial"/>
          <w:b/>
          <w:bCs/>
          <w:sz w:val="21"/>
          <w:szCs w:val="21"/>
          <w:u w:val="single"/>
          <w:lang w:val="uk-UA" w:eastAsia="ru-RU"/>
        </w:rPr>
        <w:br w:type="page"/>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21"/>
          <w:szCs w:val="21"/>
          <w:u w:val="single"/>
          <w:lang w:val="uk-UA" w:eastAsia="ru-RU"/>
        </w:rPr>
        <w:lastRenderedPageBreak/>
        <w:t>Другий етап</w:t>
      </w:r>
      <w:r w:rsidRPr="009D2453">
        <w:rPr>
          <w:rFonts w:ascii="Arial" w:eastAsia="Times New Roman" w:hAnsi="Arial" w:cs="Arial"/>
          <w:b/>
          <w:bCs/>
          <w:sz w:val="21"/>
          <w:szCs w:val="21"/>
          <w:lang w:val="uk-UA" w:eastAsia="ru-RU"/>
        </w:rPr>
        <w:br/>
        <w:t>Попередній розгляд</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4B73F2"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val="uk-UA" w:eastAsia="ru-RU"/>
        </w:rPr>
      </w:pPr>
      <w:r w:rsidRPr="009D2453">
        <w:rPr>
          <w:rFonts w:ascii="Arial" w:eastAsia="Times New Roman" w:hAnsi="Arial" w:cs="Arial"/>
          <w:sz w:val="21"/>
          <w:szCs w:val="21"/>
          <w:lang w:val="uk-UA" w:eastAsia="ru-RU"/>
        </w:rPr>
        <w:t>Після подання всіх документів на засідання спеціалізованої вченої ради виноситься питання про прийняття дисертації здобувача для попереднього розгляду. </w:t>
      </w:r>
      <w:r w:rsidRPr="009D2453">
        <w:rPr>
          <w:rFonts w:ascii="Arial" w:eastAsia="Times New Roman" w:hAnsi="Arial" w:cs="Arial"/>
          <w:sz w:val="21"/>
          <w:szCs w:val="21"/>
          <w:lang w:val="uk-UA" w:eastAsia="ru-RU"/>
        </w:rPr>
        <w:br/>
        <w:t>Рада приймає до розгляду докторську дисертацію не раніше ніж через два місяці, а кандидатську – не раніше ніж через місяць з дня розсилання виготовлювачами обов’язкових примірників видань, в яких опубліковано праці здобувача, що відображають осн</w:t>
      </w:r>
      <w:r w:rsidR="004B73F2">
        <w:rPr>
          <w:rFonts w:ascii="Arial" w:eastAsia="Times New Roman" w:hAnsi="Arial" w:cs="Arial"/>
          <w:sz w:val="21"/>
          <w:szCs w:val="21"/>
          <w:lang w:val="uk-UA" w:eastAsia="ru-RU"/>
        </w:rPr>
        <w:t>овні результати дисертації.</w:t>
      </w:r>
    </w:p>
    <w:p w:rsidR="004B73F2"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val="uk-UA" w:eastAsia="ru-RU"/>
        </w:rPr>
      </w:pPr>
      <w:r w:rsidRPr="009D2453">
        <w:rPr>
          <w:rFonts w:ascii="Arial" w:eastAsia="Times New Roman" w:hAnsi="Arial" w:cs="Arial"/>
          <w:sz w:val="21"/>
          <w:szCs w:val="21"/>
          <w:lang w:val="uk-UA" w:eastAsia="ru-RU"/>
        </w:rPr>
        <w:t>Рішення спеціалізованої вченої ради про прийняття дисертації для попереднього розгляду оформлюється відповідним протоколом. Приймаючи дисертації для попереднього розгляду спеціалізована вчена рада доручає  комісії (не менше трьох осіб) з членів ради (фахівцям за профілем дисертації) подати</w:t>
      </w:r>
      <w:r w:rsidRPr="009D2453">
        <w:rPr>
          <w:rFonts w:ascii="Arial" w:eastAsia="Times New Roman" w:hAnsi="Arial" w:cs="Arial"/>
          <w:sz w:val="21"/>
          <w:szCs w:val="21"/>
          <w:u w:val="single"/>
          <w:lang w:val="uk-UA" w:eastAsia="ru-RU"/>
        </w:rPr>
        <w:t> </w:t>
      </w:r>
      <w:r w:rsidRPr="009D2453">
        <w:rPr>
          <w:rFonts w:ascii="Arial" w:eastAsia="Times New Roman" w:hAnsi="Arial" w:cs="Arial"/>
          <w:b/>
          <w:bCs/>
          <w:sz w:val="21"/>
          <w:szCs w:val="21"/>
          <w:u w:val="single"/>
          <w:lang w:val="uk-UA" w:eastAsia="ru-RU"/>
        </w:rPr>
        <w:t xml:space="preserve">висновок </w:t>
      </w:r>
      <w:r w:rsidRPr="009D2453">
        <w:rPr>
          <w:rFonts w:ascii="Arial" w:eastAsia="Times New Roman" w:hAnsi="Arial" w:cs="Arial"/>
          <w:b/>
          <w:bCs/>
          <w:sz w:val="21"/>
          <w:szCs w:val="21"/>
          <w:u w:val="single"/>
          <w:lang w:val="uk-UA" w:eastAsia="ru-RU"/>
        </w:rPr>
        <w:t>п</w:t>
      </w:r>
      <w:r w:rsidRPr="009D2453">
        <w:rPr>
          <w:rFonts w:ascii="Arial" w:eastAsia="Times New Roman" w:hAnsi="Arial" w:cs="Arial"/>
          <w:b/>
          <w:bCs/>
          <w:sz w:val="21"/>
          <w:szCs w:val="21"/>
          <w:u w:val="single"/>
          <w:lang w:val="uk-UA" w:eastAsia="ru-RU"/>
        </w:rPr>
        <w:t>ро науковий рівень дисертації</w:t>
      </w:r>
      <w:r w:rsidRPr="009D2453">
        <w:rPr>
          <w:rFonts w:ascii="Arial" w:eastAsia="Times New Roman" w:hAnsi="Arial" w:cs="Arial"/>
          <w:sz w:val="21"/>
          <w:szCs w:val="21"/>
          <w:lang w:val="uk-UA" w:eastAsia="ru-RU"/>
        </w:rPr>
        <w:t> (у 2-х примірниках), відповідність її профілю ради, про кількість і обсяг публікацій та про повноту опублікованих матеріалів дисертації, а також пропозиції щодо призначення офіційних опонентів, у тому числі іноземних фахівців з відповідної спеціальності, і на випадок  разового захисту щодо поповнення ради науковцями відповідного профілю та щодо розсилання автореферату дисертації. Такий висновок готується у двох примірниках і повинен містити підписи всіх членів комісії.</w:t>
      </w:r>
      <w:r w:rsidRPr="009D2453">
        <w:rPr>
          <w:rFonts w:ascii="Arial" w:eastAsia="Times New Roman" w:hAnsi="Arial" w:cs="Arial"/>
          <w:sz w:val="21"/>
          <w:szCs w:val="21"/>
          <w:lang w:val="uk-UA" w:eastAsia="ru-RU"/>
        </w:rPr>
        <w:br/>
        <w:t>Розглядаючи докторську дисертацію, комісія ради визначає, якою мірою в ній використані матеріали і висновки кандидатської дисертації здобувача.</w:t>
      </w:r>
    </w:p>
    <w:p w:rsidR="006743CE"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val="uk-UA" w:eastAsia="ru-RU"/>
        </w:rPr>
      </w:pPr>
      <w:r w:rsidRPr="009D2453">
        <w:rPr>
          <w:rFonts w:ascii="Arial" w:eastAsia="Times New Roman" w:hAnsi="Arial" w:cs="Arial"/>
          <w:sz w:val="21"/>
          <w:szCs w:val="21"/>
          <w:lang w:val="uk-UA" w:eastAsia="ru-RU"/>
        </w:rPr>
        <w:t>Наукові положення і результати, які виносилися на захист у кандидатській дисертації, не можуть повторно виноситися на захист здобувачем наукового ступеня доктора наук у його докторській дисертації. Ці положення і результати можуть бути наведені лише в оглядовій частині докторської дисертації. Докторську дисертацію не може захищати здобувач, який не має наукового ступеня кандидата наук.</w:t>
      </w:r>
    </w:p>
    <w:p w:rsidR="006743CE"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val="uk-UA" w:eastAsia="ru-RU"/>
        </w:rPr>
      </w:pPr>
      <w:r w:rsidRPr="009D2453">
        <w:rPr>
          <w:rFonts w:ascii="Arial" w:eastAsia="Times New Roman" w:hAnsi="Arial" w:cs="Arial"/>
          <w:sz w:val="21"/>
          <w:szCs w:val="21"/>
          <w:lang w:val="uk-UA" w:eastAsia="ru-RU"/>
        </w:rPr>
        <w:t>Комісія може залучати до підготовки проекту висновку фахівців кафедр, лабораторій та інших структурних підрозділів даної організації чи інших наукових установ. Комісія визначає фахові семінари для апробації дисертації.</w:t>
      </w:r>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sz w:val="21"/>
          <w:szCs w:val="21"/>
          <w:lang w:val="uk-UA" w:eastAsia="ru-RU"/>
        </w:rPr>
        <w:t>Після передання позитивного висновку комісії про науковий рівень дисертації на засідання спеціалізованої вченої ради виноситься питання прийняття дисертації до захисту.</w:t>
      </w:r>
      <w:r w:rsidRPr="009D2453">
        <w:rPr>
          <w:rFonts w:ascii="Arial" w:eastAsia="Times New Roman" w:hAnsi="Arial" w:cs="Arial"/>
          <w:sz w:val="21"/>
          <w:szCs w:val="21"/>
          <w:lang w:val="uk-UA" w:eastAsia="ru-RU"/>
        </w:rPr>
        <w:br/>
        <w:t>До винесення питання про прийняття дисертації до захисту на засідання спеціалізованої вченої ради здобувач має узгодити текст автореферату і оформлення дисертації з вченим секретарем.</w:t>
      </w:r>
      <w:r w:rsidRPr="009D2453">
        <w:rPr>
          <w:rFonts w:ascii="Arial" w:eastAsia="Times New Roman" w:hAnsi="Arial" w:cs="Arial"/>
          <w:sz w:val="21"/>
          <w:szCs w:val="21"/>
          <w:lang w:val="uk-UA" w:eastAsia="ru-RU"/>
        </w:rPr>
        <w:br/>
        <w:t xml:space="preserve">Рада приймає дисертацію до захисту та призначає офіційних опонентів, затверджує додатковий список установ і організацій, до яких обов’язково надсилаються автореферати, надає дозвіл на друкування автореферату  і за потреби порушує клопотання перед МОН </w:t>
      </w:r>
      <w:proofErr w:type="spellStart"/>
      <w:r w:rsidRPr="009D2453">
        <w:rPr>
          <w:rFonts w:ascii="Arial" w:eastAsia="Times New Roman" w:hAnsi="Arial" w:cs="Arial"/>
          <w:sz w:val="21"/>
          <w:szCs w:val="21"/>
          <w:lang w:val="uk-UA" w:eastAsia="ru-RU"/>
        </w:rPr>
        <w:t>молодьспортом</w:t>
      </w:r>
      <w:proofErr w:type="spellEnd"/>
      <w:r w:rsidRPr="009D2453">
        <w:rPr>
          <w:rFonts w:ascii="Arial" w:eastAsia="Times New Roman" w:hAnsi="Arial" w:cs="Arial"/>
          <w:sz w:val="21"/>
          <w:szCs w:val="21"/>
          <w:lang w:val="uk-UA" w:eastAsia="ru-RU"/>
        </w:rPr>
        <w:t xml:space="preserve"> про додаткове введення в установленому порядку до складу ради науковців відповідного профілю. </w:t>
      </w:r>
      <w:r w:rsidRPr="009D2453">
        <w:rPr>
          <w:rFonts w:ascii="Arial" w:eastAsia="Times New Roman" w:hAnsi="Arial" w:cs="Arial"/>
          <w:sz w:val="21"/>
          <w:szCs w:val="21"/>
          <w:lang w:val="uk-UA" w:eastAsia="ru-RU"/>
        </w:rPr>
        <w:br/>
        <w:t>Рішення ради про прийняття дисертації до захисту оформлюється протоколом.</w:t>
      </w:r>
      <w:r w:rsidRPr="009D2453">
        <w:rPr>
          <w:rFonts w:ascii="Arial" w:eastAsia="Times New Roman" w:hAnsi="Arial" w:cs="Arial"/>
          <w:sz w:val="21"/>
          <w:szCs w:val="21"/>
          <w:lang w:val="uk-UA" w:eastAsia="ru-RU"/>
        </w:rPr>
        <w:br/>
        <w:t>Про прийняття дисертації до захисту рада надсилає до МОН повідомлення, в якому зазначаються відомості про наукового керівника та призначених офіційних опонентів.</w:t>
      </w:r>
      <w:r w:rsidRPr="009D2453">
        <w:rPr>
          <w:rFonts w:ascii="Arial" w:eastAsia="Times New Roman" w:hAnsi="Arial" w:cs="Arial"/>
          <w:sz w:val="21"/>
          <w:szCs w:val="21"/>
          <w:lang w:val="uk-UA" w:eastAsia="ru-RU"/>
        </w:rPr>
        <w:br/>
        <w:t>Повідомлення про захист докторських і кандидатських дисертацій публікуються в офіційному друкованому виданні МОН України – журналі «Спецвипуск газети Освіта України».</w:t>
      </w:r>
      <w:r w:rsidRPr="009D2453">
        <w:rPr>
          <w:rFonts w:ascii="Arial" w:eastAsia="Times New Roman" w:hAnsi="Arial" w:cs="Arial"/>
          <w:sz w:val="21"/>
          <w:szCs w:val="21"/>
          <w:lang w:val="uk-UA" w:eastAsia="ru-RU"/>
        </w:rPr>
        <w:br/>
      </w:r>
      <w:r w:rsidRPr="009D2453">
        <w:rPr>
          <w:rFonts w:ascii="Arial" w:eastAsia="Times New Roman" w:hAnsi="Arial" w:cs="Arial"/>
          <w:b/>
          <w:bCs/>
          <w:sz w:val="21"/>
          <w:szCs w:val="21"/>
          <w:lang w:val="uk-UA" w:eastAsia="ru-RU"/>
        </w:rPr>
        <w:t>З порядком подання повідомлень про захист дисертацій для публікації у «Спецвипуску газети «Освіта України» можна також ознайомитись на сайті:</w:t>
      </w:r>
      <w:hyperlink r:id="rId14" w:history="1">
        <w:r w:rsidRPr="009D2453">
          <w:rPr>
            <w:rFonts w:ascii="Arial" w:eastAsia="Times New Roman" w:hAnsi="Arial" w:cs="Arial"/>
            <w:b/>
            <w:bCs/>
            <w:sz w:val="21"/>
            <w:szCs w:val="21"/>
            <w:u w:val="single"/>
            <w:lang w:val="uk-UA" w:eastAsia="ru-RU"/>
          </w:rPr>
          <w:t> http://pe</w:t>
        </w:r>
        <w:r w:rsidRPr="009D2453">
          <w:rPr>
            <w:rFonts w:ascii="Arial" w:eastAsia="Times New Roman" w:hAnsi="Arial" w:cs="Arial"/>
            <w:b/>
            <w:bCs/>
            <w:sz w:val="21"/>
            <w:szCs w:val="21"/>
            <w:u w:val="single"/>
            <w:lang w:val="uk-UA" w:eastAsia="ru-RU"/>
          </w:rPr>
          <w:t>d</w:t>
        </w:r>
        <w:r w:rsidRPr="009D2453">
          <w:rPr>
            <w:rFonts w:ascii="Arial" w:eastAsia="Times New Roman" w:hAnsi="Arial" w:cs="Arial"/>
            <w:b/>
            <w:bCs/>
            <w:sz w:val="21"/>
            <w:szCs w:val="21"/>
            <w:u w:val="single"/>
            <w:lang w:val="uk-UA" w:eastAsia="ru-RU"/>
          </w:rPr>
          <w:t>presa.ua/app</w:t>
        </w:r>
      </w:hyperlink>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val="uk-UA" w:eastAsia="ru-RU"/>
        </w:rPr>
      </w:pPr>
      <w:r w:rsidRPr="009D2453">
        <w:rPr>
          <w:rFonts w:ascii="Arial" w:eastAsia="Times New Roman" w:hAnsi="Arial" w:cs="Arial"/>
          <w:sz w:val="21"/>
          <w:szCs w:val="21"/>
          <w:lang w:val="uk-UA" w:eastAsia="ru-RU"/>
        </w:rPr>
        <w:t>Захист дисертації на здобуття наукового ступеня доктора чи кандидата наук проводиться не раніше ніж через місяць після опублікування такого повідомлення.</w:t>
      </w:r>
      <w:r w:rsidRPr="009D2453">
        <w:rPr>
          <w:rFonts w:ascii="Arial" w:eastAsia="Times New Roman" w:hAnsi="Arial" w:cs="Arial"/>
          <w:sz w:val="21"/>
          <w:szCs w:val="21"/>
          <w:lang w:val="uk-UA" w:eastAsia="ru-RU"/>
        </w:rPr>
        <w:br/>
      </w:r>
      <w:r w:rsidRPr="009D2453">
        <w:rPr>
          <w:rFonts w:ascii="Arial" w:eastAsia="Times New Roman" w:hAnsi="Arial" w:cs="Arial"/>
          <w:b/>
          <w:bCs/>
          <w:sz w:val="21"/>
          <w:szCs w:val="21"/>
          <w:lang w:val="uk-UA" w:eastAsia="ru-RU"/>
        </w:rPr>
        <w:lastRenderedPageBreak/>
        <w:t>УВАГА!</w:t>
      </w:r>
      <w:r w:rsidRPr="009D2453">
        <w:rPr>
          <w:rFonts w:ascii="Arial" w:eastAsia="Times New Roman" w:hAnsi="Arial" w:cs="Arial"/>
          <w:sz w:val="21"/>
          <w:szCs w:val="21"/>
          <w:lang w:val="uk-UA" w:eastAsia="ru-RU"/>
        </w:rPr>
        <w:br/>
        <w:t>Забороняється усувати недоліки, виявлені у дисертації спеціалізованою вченою радою після прийняття її до захисту, та в авторефераті - після його розсилання.</w:t>
      </w:r>
    </w:p>
    <w:p w:rsidR="009D2453" w:rsidRPr="009D2453" w:rsidRDefault="009D2453" w:rsidP="009D2453">
      <w:pPr>
        <w:shd w:val="clear" w:color="auto" w:fill="FFFFFF"/>
        <w:spacing w:after="0" w:line="240" w:lineRule="auto"/>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48"/>
          <w:szCs w:val="48"/>
          <w:lang w:val="uk-UA" w:eastAsia="ru-RU"/>
        </w:rPr>
        <w:t>___________________________</w:t>
      </w:r>
    </w:p>
    <w:p w:rsidR="009D2453" w:rsidRPr="009D2453" w:rsidRDefault="009D2453" w:rsidP="009D2453">
      <w:pPr>
        <w:shd w:val="clear" w:color="auto" w:fill="FFFFFF"/>
        <w:spacing w:after="276"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Default="009D2453">
      <w:pPr>
        <w:rPr>
          <w:rFonts w:ascii="Arial" w:eastAsia="Times New Roman" w:hAnsi="Arial" w:cs="Arial"/>
          <w:b/>
          <w:bCs/>
          <w:sz w:val="21"/>
          <w:szCs w:val="21"/>
          <w:u w:val="single"/>
          <w:lang w:val="uk-UA" w:eastAsia="ru-RU"/>
        </w:rPr>
      </w:pPr>
      <w:r>
        <w:rPr>
          <w:rFonts w:ascii="Arial" w:eastAsia="Times New Roman" w:hAnsi="Arial" w:cs="Arial"/>
          <w:b/>
          <w:bCs/>
          <w:sz w:val="21"/>
          <w:szCs w:val="21"/>
          <w:u w:val="single"/>
          <w:lang w:val="uk-UA" w:eastAsia="ru-RU"/>
        </w:rPr>
        <w:br w:type="page"/>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21"/>
          <w:szCs w:val="21"/>
          <w:u w:val="single"/>
          <w:lang w:val="uk-UA" w:eastAsia="ru-RU"/>
        </w:rPr>
        <w:lastRenderedPageBreak/>
        <w:t>Третій етап</w:t>
      </w:r>
      <w:r w:rsidRPr="009D2453">
        <w:rPr>
          <w:rFonts w:ascii="Arial" w:eastAsia="Times New Roman" w:hAnsi="Arial" w:cs="Arial"/>
          <w:b/>
          <w:bCs/>
          <w:sz w:val="21"/>
          <w:szCs w:val="21"/>
          <w:lang w:eastAsia="ru-RU"/>
        </w:rPr>
        <w:br/>
      </w:r>
      <w:r w:rsidRPr="009D2453">
        <w:rPr>
          <w:rFonts w:ascii="Arial" w:eastAsia="Times New Roman" w:hAnsi="Arial" w:cs="Arial"/>
          <w:b/>
          <w:bCs/>
          <w:sz w:val="21"/>
          <w:szCs w:val="21"/>
          <w:lang w:val="uk-UA" w:eastAsia="ru-RU"/>
        </w:rPr>
        <w:t>Підготовка до захисту</w:t>
      </w:r>
    </w:p>
    <w:p w:rsidR="009D2453" w:rsidRPr="009D2453" w:rsidRDefault="009D2453" w:rsidP="009D2453">
      <w:pPr>
        <w:shd w:val="clear" w:color="auto" w:fill="FFFFFF"/>
        <w:spacing w:after="276"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sz w:val="21"/>
          <w:szCs w:val="21"/>
          <w:lang w:val="uk-UA" w:eastAsia="ru-RU"/>
        </w:rPr>
        <w:t>Підготовка до захисту включає в себе:</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Верстка макету автореферату. Відредагований і узгоджений з вченим секретарем текст автореферату в електронній формі подається (надсилається електронною поштою) технічному секретарю для верстки макету автореферату. У разі самостійної верстки здобувачем макету автореферату він надається технічному секретарю для перевірки.</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Макет автореферату у роздрукованому вигляді подається вченому секретарю ради, який після узгодження підписує його на звороті титульної сторінки.</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Макет автореферат за підписом вченого секретаря на звороті титульної сторінки подається до друку у будь-яку друкарню (видавництво). Автореферат друкується накладом не менше 150 примірників форматом 60х90/16.</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Автореферат із зазначенням адреси, дати і часу захисту розсилають не пізніше ніж за місяць до захисту за переліком (списком) установ і організацій, до яких обов’язково надсилаються автореферати дисертацій, затвердженим МОН в установленому порядку, і за додатковим списком, затвердженим радою, який включає ради, наукові установи, вищі навчальні заклади за профілем дисертації та відомих фахівців у даній галузі науки. Перелік (список) розсилання автореферату підписує вчений секретар спеціалізованої вченої ради.</w:t>
      </w:r>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УВАГА!</w:t>
      </w:r>
      <w:r w:rsidRPr="009D2453">
        <w:rPr>
          <w:rFonts w:ascii="Arial" w:eastAsia="Times New Roman" w:hAnsi="Arial" w:cs="Arial"/>
          <w:sz w:val="21"/>
          <w:szCs w:val="21"/>
          <w:lang w:val="uk-UA" w:eastAsia="ru-RU"/>
        </w:rPr>
        <w:br/>
        <w:t>Виправлення недоліків в авторефераті після його розсилання заборонено.</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Після розсилання автореферату технічному або вченому секретарю подається 1 примірник переліку (списку) розсилання автореферату з відміткою (відбитком календарного штемпелю) відділення зв’язку.</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Одночасно із розсилкою автореферату членам спеціалізованої вченої ради надсилаються персональні листи-повідомлення про захист дисертації за підписом голови вченої ради.</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val="uk-UA"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У максимально стислі строки після розсилання автореферату готуються і надсилаються (вручаються) офіційним опонентам листи-повідомлення про призначення офіційним опонентом за підписом голови спеціалізованої вченої ради, до кожного з яких додається по одному примірнику дисертації і автореферату.</w:t>
      </w:r>
    </w:p>
    <w:p w:rsidR="009D2453" w:rsidRPr="009D2453" w:rsidRDefault="009D2453" w:rsidP="009D2453">
      <w:pPr>
        <w:shd w:val="clear" w:color="auto" w:fill="FFFFFF"/>
        <w:spacing w:after="0" w:line="323" w:lineRule="atLeast"/>
        <w:ind w:left="720"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002A4146">
        <w:rPr>
          <w:rFonts w:ascii="Symbol" w:eastAsia="Times New Roman" w:hAnsi="Symbol" w:cs="Arial"/>
          <w:sz w:val="20"/>
          <w:szCs w:val="20"/>
          <w:lang w:val="uk-UA" w:eastAsia="ru-RU"/>
        </w:rPr>
        <w:t></w:t>
      </w:r>
      <w:r w:rsidR="002A4146">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Від офіційних опонентів потрібно отримати дані, на підставі яких слід підготувати </w:t>
      </w:r>
      <w:r w:rsidRPr="009D2453">
        <w:rPr>
          <w:rFonts w:ascii="Arial" w:eastAsia="Times New Roman" w:hAnsi="Arial" w:cs="Arial"/>
          <w:b/>
          <w:bCs/>
          <w:sz w:val="21"/>
          <w:szCs w:val="21"/>
          <w:u w:val="single"/>
          <w:lang w:val="uk-UA" w:eastAsia="ru-RU"/>
        </w:rPr>
        <w:t>Відомості п</w:t>
      </w:r>
      <w:r w:rsidRPr="009D2453">
        <w:rPr>
          <w:rFonts w:ascii="Arial" w:eastAsia="Times New Roman" w:hAnsi="Arial" w:cs="Arial"/>
          <w:b/>
          <w:bCs/>
          <w:sz w:val="21"/>
          <w:szCs w:val="21"/>
          <w:u w:val="single"/>
          <w:lang w:val="uk-UA" w:eastAsia="ru-RU"/>
        </w:rPr>
        <w:t>р</w:t>
      </w:r>
      <w:r w:rsidRPr="009D2453">
        <w:rPr>
          <w:rFonts w:ascii="Arial" w:eastAsia="Times New Roman" w:hAnsi="Arial" w:cs="Arial"/>
          <w:b/>
          <w:bCs/>
          <w:sz w:val="21"/>
          <w:szCs w:val="21"/>
          <w:u w:val="single"/>
          <w:lang w:val="uk-UA" w:eastAsia="ru-RU"/>
        </w:rPr>
        <w:t>о офіційних опонентів</w:t>
      </w:r>
      <w:r w:rsidRPr="009D2453">
        <w:rPr>
          <w:rFonts w:ascii="Arial" w:eastAsia="Times New Roman" w:hAnsi="Arial" w:cs="Arial"/>
          <w:sz w:val="21"/>
          <w:szCs w:val="21"/>
          <w:lang w:val="uk-UA" w:eastAsia="ru-RU"/>
        </w:rPr>
        <w:t>  (додаток 10 до</w:t>
      </w:r>
      <w:r w:rsidRPr="009D2453">
        <w:rPr>
          <w:rFonts w:ascii="Arial" w:eastAsia="Times New Roman" w:hAnsi="Arial" w:cs="Arial"/>
          <w:sz w:val="21"/>
          <w:szCs w:val="21"/>
          <w:lang w:eastAsia="ru-RU"/>
        </w:rPr>
        <w:t> </w:t>
      </w:r>
      <w:hyperlink r:id="rId15" w:history="1">
        <w:r w:rsidRPr="009D2453">
          <w:rPr>
            <w:rFonts w:ascii="Arial" w:eastAsia="Times New Roman" w:hAnsi="Arial" w:cs="Arial"/>
            <w:b/>
            <w:bCs/>
            <w:sz w:val="21"/>
            <w:szCs w:val="21"/>
            <w:u w:val="single"/>
            <w:lang w:val="uk-UA" w:eastAsia="ru-RU"/>
          </w:rPr>
          <w:t>Положе</w:t>
        </w:r>
        <w:r w:rsidRPr="009D2453">
          <w:rPr>
            <w:rFonts w:ascii="Arial" w:eastAsia="Times New Roman" w:hAnsi="Arial" w:cs="Arial"/>
            <w:b/>
            <w:bCs/>
            <w:sz w:val="21"/>
            <w:szCs w:val="21"/>
            <w:u w:val="single"/>
            <w:lang w:val="uk-UA" w:eastAsia="ru-RU"/>
          </w:rPr>
          <w:t>н</w:t>
        </w:r>
        <w:r w:rsidRPr="009D2453">
          <w:rPr>
            <w:rFonts w:ascii="Arial" w:eastAsia="Times New Roman" w:hAnsi="Arial" w:cs="Arial"/>
            <w:b/>
            <w:bCs/>
            <w:sz w:val="21"/>
            <w:szCs w:val="21"/>
            <w:u w:val="single"/>
            <w:lang w:val="uk-UA" w:eastAsia="ru-RU"/>
          </w:rPr>
          <w:t>ня про спеціалізовану вчену раду</w:t>
        </w:r>
      </w:hyperlink>
      <w:r w:rsidRPr="009D2453">
        <w:rPr>
          <w:rFonts w:ascii="Arial" w:eastAsia="Times New Roman" w:hAnsi="Arial" w:cs="Arial"/>
          <w:sz w:val="21"/>
          <w:szCs w:val="21"/>
          <w:lang w:val="uk-UA" w:eastAsia="ru-RU"/>
        </w:rPr>
        <w:t>), а також ідентифікаційний номер (бажано копію довідки про присвоєння ідентифікаційного коду). У рядку 7 Відомості про офіційних опонентів вказуються 2-3 монографії та/або статті офіційних опонентів за спеціальністю (профілем) дисертації здобувача, бажано, не пізніше як за останніх 3 роки. При цьому у зазначені Відомості не слід включати дисертацію та автореферат дисертації офіційного опонента.</w:t>
      </w:r>
    </w:p>
    <w:p w:rsidR="009D2453" w:rsidRPr="009D2453" w:rsidRDefault="009D2453" w:rsidP="009D2453">
      <w:pPr>
        <w:shd w:val="clear" w:color="auto" w:fill="FFFFFF"/>
        <w:spacing w:after="0" w:line="323" w:lineRule="atLeast"/>
        <w:ind w:left="720"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002A4146">
        <w:rPr>
          <w:rFonts w:ascii="Symbol" w:eastAsia="Times New Roman" w:hAnsi="Symbol" w:cs="Arial"/>
          <w:sz w:val="20"/>
          <w:szCs w:val="20"/>
          <w:lang w:val="uk-UA" w:eastAsia="ru-RU"/>
        </w:rPr>
        <w:t></w:t>
      </w:r>
      <w:r w:rsidR="002A4146">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Оформлення проекту висновку спец  ради про дисертацію (</w:t>
      </w:r>
      <w:hyperlink r:id="rId16" w:history="1">
        <w:r w:rsidRPr="009D2453">
          <w:rPr>
            <w:rFonts w:ascii="Arial" w:eastAsia="Times New Roman" w:hAnsi="Arial" w:cs="Arial"/>
            <w:b/>
            <w:bCs/>
            <w:sz w:val="21"/>
            <w:szCs w:val="21"/>
            <w:u w:val="single"/>
            <w:lang w:val="uk-UA" w:eastAsia="ru-RU"/>
          </w:rPr>
          <w:t>для докторсько</w:t>
        </w:r>
      </w:hyperlink>
      <w:r w:rsidRPr="009D2453">
        <w:rPr>
          <w:rFonts w:ascii="Arial" w:eastAsia="Times New Roman" w:hAnsi="Arial" w:cs="Arial"/>
          <w:b/>
          <w:bCs/>
          <w:sz w:val="21"/>
          <w:szCs w:val="21"/>
          <w:lang w:val="uk-UA" w:eastAsia="ru-RU"/>
        </w:rPr>
        <w:t>ї</w:t>
      </w:r>
      <w:r w:rsidRPr="009D2453">
        <w:rPr>
          <w:rFonts w:ascii="Arial" w:eastAsia="Times New Roman" w:hAnsi="Arial" w:cs="Arial"/>
          <w:sz w:val="21"/>
          <w:szCs w:val="21"/>
          <w:lang w:val="uk-UA" w:eastAsia="ru-RU"/>
        </w:rPr>
        <w:t>; </w:t>
      </w:r>
      <w:hyperlink r:id="rId17" w:history="1">
        <w:r w:rsidRPr="009D2453">
          <w:rPr>
            <w:rFonts w:ascii="Arial" w:eastAsia="Times New Roman" w:hAnsi="Arial" w:cs="Arial"/>
            <w:b/>
            <w:bCs/>
            <w:sz w:val="21"/>
            <w:szCs w:val="21"/>
            <w:u w:val="single"/>
            <w:lang w:val="uk-UA" w:eastAsia="ru-RU"/>
          </w:rPr>
          <w:t>для кандидатської</w:t>
        </w:r>
      </w:hyperlink>
      <w:r w:rsidRPr="009D2453">
        <w:rPr>
          <w:rFonts w:ascii="Arial" w:eastAsia="Times New Roman" w:hAnsi="Arial" w:cs="Arial"/>
          <w:sz w:val="21"/>
          <w:szCs w:val="21"/>
          <w:lang w:val="uk-UA" w:eastAsia="ru-RU"/>
        </w:rPr>
        <w:t>). </w:t>
      </w:r>
      <w:r w:rsidRPr="009D2453">
        <w:rPr>
          <w:rFonts w:ascii="Arial" w:eastAsia="Times New Roman" w:hAnsi="Arial" w:cs="Arial"/>
          <w:b/>
          <w:bCs/>
          <w:sz w:val="21"/>
          <w:szCs w:val="21"/>
          <w:lang w:val="uk-UA" w:eastAsia="ru-RU"/>
        </w:rPr>
        <w:t>Проект Висновку спеціалізованої вченої ради слід передати чи надіслати електронною поштою ученому секретарю не пізніше, ніж через 7 днів після розсилки автореферату</w:t>
      </w:r>
      <w:r w:rsidRPr="009D2453">
        <w:rPr>
          <w:rFonts w:ascii="Arial" w:eastAsia="Times New Roman" w:hAnsi="Arial" w:cs="Arial"/>
          <w:sz w:val="21"/>
          <w:szCs w:val="21"/>
          <w:lang w:val="uk-UA" w:eastAsia="ru-RU"/>
        </w:rPr>
        <w:t>.</w:t>
      </w:r>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sz w:val="21"/>
          <w:szCs w:val="21"/>
          <w:lang w:val="uk-UA" w:eastAsia="ru-RU"/>
        </w:rPr>
        <w:t>Сприяння в підготовці офіційними опонентами відгуків на дисертацію.</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lastRenderedPageBreak/>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Сприяння в отриманні відгуків на автореферат від провідних науковців і практиків, що спеціалізуються на тематиці дисертації. Таких відгуків повинно бути близько 6 (шести) для автореферату кандидатської та 10 (десяти) для автореферату докторської дисертації. Відгуки мають бути від професорів, докторів  наук, провідних фахівців  з науковим ступенем.</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Підготовка бюлетенів для голосування.</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Підготовка шаблону протоколів лічильної комісії.</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Підготовка сценарію засідання спеціалізованої вченої ради</w:t>
      </w:r>
      <w:bookmarkStart w:id="0" w:name="_GoBack"/>
      <w:bookmarkEnd w:id="0"/>
      <w:r w:rsidRPr="009D2453">
        <w:rPr>
          <w:rFonts w:ascii="Arial" w:eastAsia="Times New Roman" w:hAnsi="Arial" w:cs="Arial"/>
          <w:sz w:val="21"/>
          <w:szCs w:val="21"/>
          <w:lang w:val="uk-UA" w:eastAsia="ru-RU"/>
        </w:rPr>
        <w:t>. </w:t>
      </w:r>
      <w:r w:rsidRPr="009D2453">
        <w:rPr>
          <w:rFonts w:ascii="Arial" w:eastAsia="Times New Roman" w:hAnsi="Arial" w:cs="Arial"/>
          <w:b/>
          <w:bCs/>
          <w:sz w:val="21"/>
          <w:szCs w:val="21"/>
          <w:lang w:val="uk-UA" w:eastAsia="ru-RU"/>
        </w:rPr>
        <w:t>Проект сценарію необхідно</w:t>
      </w:r>
      <w:r w:rsidRPr="009D2453">
        <w:rPr>
          <w:rFonts w:ascii="Arial" w:eastAsia="Times New Roman" w:hAnsi="Arial" w:cs="Arial"/>
          <w:sz w:val="21"/>
          <w:szCs w:val="21"/>
          <w:lang w:val="uk-UA" w:eastAsia="ru-RU"/>
        </w:rPr>
        <w:t> </w:t>
      </w:r>
      <w:r w:rsidRPr="009D2453">
        <w:rPr>
          <w:rFonts w:ascii="Arial" w:eastAsia="Times New Roman" w:hAnsi="Arial" w:cs="Arial"/>
          <w:b/>
          <w:bCs/>
          <w:sz w:val="21"/>
          <w:szCs w:val="21"/>
          <w:lang w:val="uk-UA" w:eastAsia="ru-RU"/>
        </w:rPr>
        <w:t>надіслати ученому секретарю електронною поштою не пізніше, ніж через 7 днів після розсилки автореферату, за винятком частини, де зачитуються зауваження до автореферату. Частина сценарію з зауваженнями до автореферату надсилається вченому секретарю не пізніше, ніш за 2 дні до захисту окремим файлом за формою, як у зразку сценарію.</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Оплата послуг із захисту. Рахунок на оплату цих послуг необхідно взяти в бухгалтерії Інституту .</w:t>
      </w:r>
    </w:p>
    <w:p w:rsidR="009D2453" w:rsidRPr="009D2453" w:rsidRDefault="009D2453" w:rsidP="009D2453">
      <w:pPr>
        <w:shd w:val="clear" w:color="auto" w:fill="FFFFFF"/>
        <w:spacing w:after="0" w:line="323" w:lineRule="atLeast"/>
        <w:ind w:left="535" w:hanging="360"/>
        <w:jc w:val="both"/>
        <w:textAlignment w:val="baseline"/>
        <w:rPr>
          <w:rFonts w:ascii="Arial" w:eastAsia="Times New Roman" w:hAnsi="Arial" w:cs="Arial"/>
          <w:sz w:val="21"/>
          <w:szCs w:val="21"/>
          <w:lang w:eastAsia="ru-RU"/>
        </w:rPr>
      </w:pPr>
      <w:r w:rsidRPr="009D2453">
        <w:rPr>
          <w:rFonts w:ascii="Symbol" w:eastAsia="Times New Roman" w:hAnsi="Symbol" w:cs="Arial"/>
          <w:sz w:val="20"/>
          <w:szCs w:val="20"/>
          <w:lang w:val="uk-UA" w:eastAsia="ru-RU"/>
        </w:rPr>
        <w:t></w:t>
      </w:r>
      <w:r w:rsidRPr="009D2453">
        <w:rPr>
          <w:rFonts w:ascii="Symbol" w:eastAsia="Times New Roman" w:hAnsi="Symbol" w:cs="Arial"/>
          <w:sz w:val="20"/>
          <w:szCs w:val="20"/>
          <w:lang w:val="uk-UA" w:eastAsia="ru-RU"/>
        </w:rPr>
        <w:t></w:t>
      </w:r>
      <w:r w:rsidRPr="009D2453">
        <w:rPr>
          <w:rFonts w:ascii="Arial" w:eastAsia="Times New Roman" w:hAnsi="Arial" w:cs="Arial"/>
          <w:sz w:val="21"/>
          <w:szCs w:val="21"/>
          <w:lang w:eastAsia="ru-RU"/>
        </w:rPr>
        <w:t> </w:t>
      </w:r>
      <w:r w:rsidRPr="009D2453">
        <w:rPr>
          <w:rFonts w:ascii="Arial" w:eastAsia="Times New Roman" w:hAnsi="Arial" w:cs="Arial"/>
          <w:sz w:val="21"/>
          <w:szCs w:val="21"/>
          <w:lang w:val="uk-UA" w:eastAsia="ru-RU"/>
        </w:rPr>
        <w:t>Вирішення всіх організаційних питань.</w:t>
      </w:r>
    </w:p>
    <w:p w:rsidR="009D2453" w:rsidRPr="009D2453" w:rsidRDefault="009D2453" w:rsidP="009D2453">
      <w:pPr>
        <w:shd w:val="clear" w:color="auto" w:fill="FFFFFF"/>
        <w:spacing w:after="0" w:line="323" w:lineRule="atLeast"/>
        <w:ind w:firstLine="300"/>
        <w:jc w:val="both"/>
        <w:textAlignment w:val="baseline"/>
        <w:rPr>
          <w:rFonts w:ascii="Arial" w:eastAsia="Times New Roman" w:hAnsi="Arial" w:cs="Arial"/>
          <w:sz w:val="21"/>
          <w:szCs w:val="21"/>
          <w:lang w:eastAsia="ru-RU"/>
        </w:rPr>
      </w:pPr>
      <w:r w:rsidRPr="009D2453">
        <w:rPr>
          <w:rFonts w:ascii="Arial" w:eastAsia="Times New Roman" w:hAnsi="Arial" w:cs="Arial"/>
          <w:sz w:val="21"/>
          <w:szCs w:val="21"/>
          <w:lang w:val="uk-UA" w:eastAsia="ru-RU"/>
        </w:rPr>
        <w:t> Якщо з об'єктивних причин засідання ради у призначений день не може відбутися, то рада має право призначити нову дату захисту дисертації, але не раніше ніж через місяць після опублікування повідомлення, проінформувавши про це МОН України, установи та організації, яким було розіслано автореферат.</w:t>
      </w:r>
    </w:p>
    <w:p w:rsidR="009D2453" w:rsidRPr="009D2453" w:rsidRDefault="009D2453" w:rsidP="009D2453">
      <w:pPr>
        <w:shd w:val="clear" w:color="auto" w:fill="FFFFFF"/>
        <w:spacing w:after="0" w:line="240" w:lineRule="auto"/>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48"/>
          <w:szCs w:val="48"/>
          <w:lang w:val="uk-UA" w:eastAsia="ru-RU"/>
        </w:rPr>
        <w:t>___________________________</w:t>
      </w:r>
    </w:p>
    <w:p w:rsidR="009D2453" w:rsidRPr="009D2453" w:rsidRDefault="009D2453" w:rsidP="009D2453">
      <w:pPr>
        <w:shd w:val="clear" w:color="auto" w:fill="FFFFFF"/>
        <w:spacing w:after="276" w:line="323" w:lineRule="atLeast"/>
        <w:ind w:firstLine="300"/>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21"/>
          <w:szCs w:val="21"/>
          <w:u w:val="single"/>
          <w:lang w:val="uk-UA" w:eastAsia="ru-RU"/>
        </w:rPr>
        <w:t>Четвертий етап</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Захист</w:t>
      </w:r>
    </w:p>
    <w:p w:rsidR="009D2453" w:rsidRPr="009D2453" w:rsidRDefault="009D2453" w:rsidP="009D2453">
      <w:pPr>
        <w:shd w:val="clear" w:color="auto" w:fill="FFFFFF"/>
        <w:spacing w:after="0" w:line="240" w:lineRule="auto"/>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48"/>
          <w:szCs w:val="48"/>
          <w:lang w:val="uk-UA" w:eastAsia="ru-RU"/>
        </w:rPr>
        <w:t>___________________________</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sz w:val="21"/>
          <w:szCs w:val="21"/>
          <w:lang w:eastAsia="ru-RU"/>
        </w:rPr>
        <w:t> </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21"/>
          <w:szCs w:val="21"/>
          <w:u w:val="single"/>
          <w:lang w:val="uk-UA" w:eastAsia="ru-RU"/>
        </w:rPr>
        <w:t>П’ятий етап</w:t>
      </w:r>
    </w:p>
    <w:p w:rsidR="009D2453" w:rsidRPr="009D2453" w:rsidRDefault="009D2453" w:rsidP="009D2453">
      <w:pPr>
        <w:shd w:val="clear" w:color="auto" w:fill="FFFFFF"/>
        <w:spacing w:after="0" w:line="323" w:lineRule="atLeast"/>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21"/>
          <w:szCs w:val="21"/>
          <w:lang w:val="uk-UA" w:eastAsia="ru-RU"/>
        </w:rPr>
        <w:t>Підготовка атестаційних справ здобувача</w:t>
      </w:r>
    </w:p>
    <w:p w:rsidR="009D2453" w:rsidRPr="009D2453" w:rsidRDefault="009D2453" w:rsidP="009D2453">
      <w:pPr>
        <w:shd w:val="clear" w:color="auto" w:fill="FFFFFF"/>
        <w:spacing w:after="0" w:line="240" w:lineRule="auto"/>
        <w:ind w:firstLine="300"/>
        <w:jc w:val="center"/>
        <w:textAlignment w:val="baseline"/>
        <w:rPr>
          <w:rFonts w:ascii="Arial" w:eastAsia="Times New Roman" w:hAnsi="Arial" w:cs="Arial"/>
          <w:sz w:val="21"/>
          <w:szCs w:val="21"/>
          <w:lang w:eastAsia="ru-RU"/>
        </w:rPr>
      </w:pPr>
      <w:r w:rsidRPr="009D2453">
        <w:rPr>
          <w:rFonts w:ascii="Arial" w:eastAsia="Times New Roman" w:hAnsi="Arial" w:cs="Arial"/>
          <w:b/>
          <w:bCs/>
          <w:sz w:val="48"/>
          <w:szCs w:val="48"/>
          <w:lang w:val="uk-UA" w:eastAsia="ru-RU"/>
        </w:rPr>
        <w:t>___________________________</w:t>
      </w:r>
    </w:p>
    <w:p w:rsidR="00681ED8" w:rsidRPr="009D2453" w:rsidRDefault="00681ED8"/>
    <w:sectPr w:rsidR="00681ED8" w:rsidRPr="009D2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114CD"/>
    <w:multiLevelType w:val="multilevel"/>
    <w:tmpl w:val="5F96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2A4146"/>
    <w:rsid w:val="004B73F2"/>
    <w:rsid w:val="006743CE"/>
    <w:rsid w:val="00681ED8"/>
    <w:rsid w:val="009D2453"/>
    <w:rsid w:val="00C3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C25AF-DCCD-4B76-936C-531266F5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7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45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D2453"/>
    <w:rPr>
      <w:color w:val="0000FF"/>
      <w:u w:val="single"/>
    </w:rPr>
  </w:style>
  <w:style w:type="paragraph" w:styleId="a4">
    <w:name w:val="Normal (Web)"/>
    <w:basedOn w:val="a"/>
    <w:uiPriority w:val="99"/>
    <w:semiHidden/>
    <w:unhideWhenUsed/>
    <w:rsid w:val="009D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453"/>
  </w:style>
  <w:style w:type="character" w:customStyle="1" w:styleId="20">
    <w:name w:val="Заголовок 2 Знак"/>
    <w:basedOn w:val="a0"/>
    <w:link w:val="2"/>
    <w:uiPriority w:val="9"/>
    <w:semiHidden/>
    <w:rsid w:val="004B73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86522">
      <w:bodyDiv w:val="1"/>
      <w:marLeft w:val="0"/>
      <w:marRight w:val="0"/>
      <w:marTop w:val="0"/>
      <w:marBottom w:val="0"/>
      <w:divBdr>
        <w:top w:val="none" w:sz="0" w:space="0" w:color="auto"/>
        <w:left w:val="none" w:sz="0" w:space="0" w:color="auto"/>
        <w:bottom w:val="none" w:sz="0" w:space="0" w:color="auto"/>
        <w:right w:val="none" w:sz="0" w:space="0" w:color="auto"/>
      </w:divBdr>
    </w:div>
    <w:div w:id="1568687895">
      <w:bodyDiv w:val="1"/>
      <w:marLeft w:val="0"/>
      <w:marRight w:val="0"/>
      <w:marTop w:val="0"/>
      <w:marBottom w:val="0"/>
      <w:divBdr>
        <w:top w:val="none" w:sz="0" w:space="0" w:color="auto"/>
        <w:left w:val="none" w:sz="0" w:space="0" w:color="auto"/>
        <w:bottom w:val="none" w:sz="0" w:space="0" w:color="auto"/>
        <w:right w:val="none" w:sz="0" w:space="0" w:color="auto"/>
      </w:divBdr>
      <w:divsChild>
        <w:div w:id="1705327072">
          <w:marLeft w:val="0"/>
          <w:marRight w:val="0"/>
          <w:marTop w:val="0"/>
          <w:marBottom w:val="0"/>
          <w:divBdr>
            <w:top w:val="none" w:sz="0" w:space="0" w:color="auto"/>
            <w:left w:val="none" w:sz="0" w:space="0" w:color="auto"/>
            <w:bottom w:val="none" w:sz="0" w:space="0" w:color="auto"/>
            <w:right w:val="none" w:sz="0" w:space="0" w:color="auto"/>
          </w:divBdr>
          <w:divsChild>
            <w:div w:id="1667518675">
              <w:marLeft w:val="0"/>
              <w:marRight w:val="0"/>
              <w:marTop w:val="0"/>
              <w:marBottom w:val="0"/>
              <w:divBdr>
                <w:top w:val="none" w:sz="0" w:space="0" w:color="auto"/>
                <w:left w:val="none" w:sz="0" w:space="0" w:color="auto"/>
                <w:bottom w:val="none" w:sz="0" w:space="0" w:color="auto"/>
                <w:right w:val="none" w:sz="0" w:space="0" w:color="auto"/>
              </w:divBdr>
            </w:div>
            <w:div w:id="1095134359">
              <w:marLeft w:val="0"/>
              <w:marRight w:val="0"/>
              <w:marTop w:val="0"/>
              <w:marBottom w:val="0"/>
              <w:divBdr>
                <w:top w:val="none" w:sz="0" w:space="0" w:color="auto"/>
                <w:left w:val="none" w:sz="0" w:space="0" w:color="auto"/>
                <w:bottom w:val="none" w:sz="0" w:space="0" w:color="auto"/>
                <w:right w:val="none" w:sz="0" w:space="0" w:color="auto"/>
              </w:divBdr>
            </w:div>
            <w:div w:id="238294169">
              <w:marLeft w:val="0"/>
              <w:marRight w:val="0"/>
              <w:marTop w:val="0"/>
              <w:marBottom w:val="0"/>
              <w:divBdr>
                <w:top w:val="none" w:sz="0" w:space="0" w:color="auto"/>
                <w:left w:val="none" w:sz="0" w:space="0" w:color="auto"/>
                <w:bottom w:val="none" w:sz="0" w:space="0" w:color="auto"/>
                <w:right w:val="none" w:sz="0" w:space="0" w:color="auto"/>
              </w:divBdr>
            </w:div>
            <w:div w:id="1300186639">
              <w:marLeft w:val="0"/>
              <w:marRight w:val="0"/>
              <w:marTop w:val="0"/>
              <w:marBottom w:val="0"/>
              <w:divBdr>
                <w:top w:val="none" w:sz="0" w:space="0" w:color="auto"/>
                <w:left w:val="none" w:sz="0" w:space="0" w:color="auto"/>
                <w:bottom w:val="none" w:sz="0" w:space="0" w:color="auto"/>
                <w:right w:val="none" w:sz="0" w:space="0" w:color="auto"/>
              </w:divBdr>
            </w:div>
            <w:div w:id="11578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170-11/print1320849802053183" TargetMode="External"/><Relationship Id="rId13" Type="http://schemas.openxmlformats.org/officeDocument/2006/relationships/hyperlink" Target="https://drive.google.com/file/d/0B6e_r_dbLQfjRk5rOXVhMTIyTXc/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1.rada.gov.ua/laws/show/567-2013-%D0%BF/print1390920812593112" TargetMode="External"/><Relationship Id="rId12" Type="http://schemas.openxmlformats.org/officeDocument/2006/relationships/hyperlink" Target="https://drive.google.com/file/d/0B6e_r_dbLQfjQnFZV01VMjUtYkU/edit?usp=sharing" TargetMode="External"/><Relationship Id="rId17" Type="http://schemas.openxmlformats.org/officeDocument/2006/relationships/hyperlink" Target="https://drive.google.com/file/d/0B6e_r_dbLQfjWEZfbUFxYUdXbFU/edit?usp=sharing" TargetMode="External"/><Relationship Id="rId2" Type="http://schemas.openxmlformats.org/officeDocument/2006/relationships/styles" Target="styles.xml"/><Relationship Id="rId16" Type="http://schemas.openxmlformats.org/officeDocument/2006/relationships/hyperlink" Target="https://drive.google.com/file/d/0B6e_r_dbLQfjalRoZlBQaE1RcDg/edit?usp=sharing" TargetMode="External"/><Relationship Id="rId1" Type="http://schemas.openxmlformats.org/officeDocument/2006/relationships/numbering" Target="numbering.xml"/><Relationship Id="rId6" Type="http://schemas.openxmlformats.org/officeDocument/2006/relationships/hyperlink" Target="http://zakon3.rada.gov.ua/laws/show/1556-18/print1364808773358926" TargetMode="External"/><Relationship Id="rId11" Type="http://schemas.openxmlformats.org/officeDocument/2006/relationships/hyperlink" Target="http://metrology.com.ua/normativnaya-baza/drugoe/prikazy/1236-prikaz-65-vid-04-03-2016-g-ukrndnts" TargetMode="External"/><Relationship Id="rId5" Type="http://schemas.openxmlformats.org/officeDocument/2006/relationships/hyperlink" Target="http://www.mon.gov.ua/activity/education/atestacziya-kadriv-vishhoyi-kvalifikacziyi/" TargetMode="External"/><Relationship Id="rId15" Type="http://schemas.openxmlformats.org/officeDocument/2006/relationships/hyperlink" Target="http://zakon2.rada.gov.ua/laws/show/z1170-11/print1320849802053183" TargetMode="External"/><Relationship Id="rId10" Type="http://schemas.openxmlformats.org/officeDocument/2006/relationships/hyperlink" Target="https://drive.google.com/file/d/0B6e_r_dbLQfjcTBsS1dFUjNLc2M/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z1169-11%20;" TargetMode="External"/><Relationship Id="rId14" Type="http://schemas.openxmlformats.org/officeDocument/2006/relationships/hyperlink" Target="http://pedpresa.ua/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odin</cp:lastModifiedBy>
  <cp:revision>3</cp:revision>
  <dcterms:created xsi:type="dcterms:W3CDTF">2016-12-12T23:02:00Z</dcterms:created>
  <dcterms:modified xsi:type="dcterms:W3CDTF">2017-02-16T11:59:00Z</dcterms:modified>
</cp:coreProperties>
</file>